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39EB0" w14:textId="21850981" w:rsidR="003679E9" w:rsidRPr="003679E9" w:rsidRDefault="003679E9" w:rsidP="003679E9">
      <w:pPr>
        <w:tabs>
          <w:tab w:val="center" w:pos="4536"/>
          <w:tab w:val="right" w:pos="8280"/>
          <w:tab w:val="right" w:pos="9639"/>
        </w:tabs>
        <w:ind w:right="2"/>
        <w:rPr>
          <w:rFonts w:ascii="Arial" w:hAnsi="Arial" w:cs="Arial"/>
          <w:b/>
          <w:bCs/>
          <w:sz w:val="28"/>
        </w:rPr>
      </w:pPr>
      <w:bookmarkStart w:id="0" w:name="_Ref462675860"/>
      <w:bookmarkStart w:id="1" w:name="_Ref465963108"/>
      <w:r w:rsidRPr="003679E9">
        <w:rPr>
          <w:rFonts w:ascii="Arial" w:hAnsi="Arial" w:cs="Arial"/>
          <w:b/>
          <w:bCs/>
          <w:sz w:val="28"/>
        </w:rPr>
        <w:t>3GPP TSG RAN WG1 #97</w:t>
      </w:r>
      <w:r w:rsidRPr="003679E9">
        <w:rPr>
          <w:rFonts w:ascii="Arial" w:hAnsi="Arial" w:cs="Arial"/>
          <w:b/>
          <w:bCs/>
          <w:sz w:val="28"/>
        </w:rPr>
        <w:tab/>
      </w:r>
      <w:r w:rsidRPr="003679E9">
        <w:rPr>
          <w:rFonts w:ascii="Arial" w:hAnsi="Arial" w:cs="Arial"/>
          <w:b/>
          <w:bCs/>
          <w:sz w:val="28"/>
        </w:rPr>
        <w:tab/>
      </w:r>
      <w:r w:rsidRPr="003679E9">
        <w:rPr>
          <w:rFonts w:ascii="Arial" w:hAnsi="Arial" w:cs="Arial"/>
          <w:b/>
          <w:bCs/>
          <w:sz w:val="28"/>
        </w:rPr>
        <w:tab/>
        <w:t>R1-19072</w:t>
      </w:r>
      <w:r>
        <w:rPr>
          <w:rFonts w:ascii="Arial" w:hAnsi="Arial" w:cs="Arial"/>
          <w:b/>
          <w:bCs/>
          <w:sz w:val="28"/>
        </w:rPr>
        <w:t>80</w:t>
      </w:r>
    </w:p>
    <w:p w14:paraId="060B954A" w14:textId="77777777" w:rsidR="003679E9" w:rsidRPr="003679E9" w:rsidRDefault="003679E9" w:rsidP="003679E9">
      <w:pPr>
        <w:tabs>
          <w:tab w:val="center" w:pos="4536"/>
          <w:tab w:val="right" w:pos="9072"/>
        </w:tabs>
        <w:rPr>
          <w:rFonts w:ascii="Arial" w:eastAsia="MS Mincho" w:hAnsi="Arial" w:cs="Arial"/>
          <w:b/>
          <w:bCs/>
          <w:sz w:val="28"/>
          <w:lang w:eastAsia="ja-JP"/>
        </w:rPr>
      </w:pPr>
      <w:r w:rsidRPr="003679E9">
        <w:rPr>
          <w:rFonts w:ascii="Arial" w:eastAsia="MS Mincho" w:hAnsi="Arial" w:cs="Arial"/>
          <w:b/>
          <w:bCs/>
          <w:sz w:val="28"/>
          <w:lang w:eastAsia="ja-JP"/>
        </w:rPr>
        <w:t>Reno, USA, May 13</w:t>
      </w:r>
      <w:r w:rsidRPr="003679E9">
        <w:rPr>
          <w:rFonts w:ascii="Arial" w:eastAsia="MS Mincho" w:hAnsi="Arial" w:cs="Arial"/>
          <w:b/>
          <w:bCs/>
          <w:sz w:val="28"/>
          <w:vertAlign w:val="superscript"/>
          <w:lang w:eastAsia="ja-JP"/>
        </w:rPr>
        <w:t>th</w:t>
      </w:r>
      <w:r w:rsidRPr="003679E9">
        <w:rPr>
          <w:rFonts w:ascii="Arial" w:eastAsia="MS Mincho" w:hAnsi="Arial" w:cs="Arial"/>
          <w:b/>
          <w:bCs/>
          <w:sz w:val="28"/>
          <w:lang w:eastAsia="ja-JP"/>
        </w:rPr>
        <w:t xml:space="preserve"> – 17</w:t>
      </w:r>
      <w:r w:rsidRPr="003679E9">
        <w:rPr>
          <w:rFonts w:ascii="Arial" w:eastAsia="MS Mincho" w:hAnsi="Arial" w:cs="Arial"/>
          <w:b/>
          <w:bCs/>
          <w:sz w:val="28"/>
          <w:vertAlign w:val="superscript"/>
          <w:lang w:eastAsia="ja-JP"/>
        </w:rPr>
        <w:t>th</w:t>
      </w:r>
      <w:r w:rsidRPr="003679E9">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CFC051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B52E1C">
        <w:rPr>
          <w:rFonts w:ascii="Arial" w:hAnsi="Arial"/>
          <w:sz w:val="24"/>
        </w:rPr>
        <w:t>5</w:t>
      </w:r>
      <w:bookmarkStart w:id="2" w:name="_GoBack"/>
      <w:bookmarkEnd w:id="2"/>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B970DAE"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52E1C">
        <w:rPr>
          <w:rFonts w:ascii="Arial" w:hAnsi="Arial"/>
          <w:sz w:val="22"/>
        </w:rPr>
        <w:t xml:space="preserve">On NTN Initial </w:t>
      </w:r>
      <w:r w:rsidR="00747C06" w:rsidRPr="00747C06">
        <w:rPr>
          <w:rFonts w:ascii="Arial" w:hAnsi="Arial"/>
          <w:sz w:val="22"/>
        </w:rPr>
        <w:t>Search</w:t>
      </w:r>
      <w:r w:rsidR="00B52E1C">
        <w:rPr>
          <w:rFonts w:ascii="Arial" w:hAnsi="Arial"/>
          <w:sz w:val="22"/>
        </w:rPr>
        <w:t xml:space="preserve"> and Handover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A32A69">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A32A69">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A32A69">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4B959FF0" w:rsidR="004C3FD9" w:rsidRDefault="007C586D" w:rsidP="008659F2">
      <w:pPr>
        <w:widowControl w:val="0"/>
        <w:jc w:val="both"/>
      </w:pPr>
      <w:r>
        <w:t>In this contribution, we discuss</w:t>
      </w:r>
      <w:r w:rsidR="00704423">
        <w:t xml:space="preserve"> </w:t>
      </w:r>
      <w:r w:rsidR="00074172">
        <w:t xml:space="preserve">mechanisms for reduced NTN initial </w:t>
      </w:r>
      <w:r w:rsidR="00747C06">
        <w:t>search</w:t>
      </w:r>
      <w:r w:rsidR="00074172">
        <w:t xml:space="preserve"> time and efficient intra-satellite handover. </w:t>
      </w:r>
    </w:p>
    <w:p w14:paraId="60F5A8E1" w14:textId="130E9EBA" w:rsidR="00974AB0" w:rsidRDefault="00AD7CC3" w:rsidP="00601DDB">
      <w:pPr>
        <w:pStyle w:val="Heading1"/>
        <w:pBdr>
          <w:top w:val="single" w:sz="12" w:space="31" w:color="auto"/>
        </w:pBdr>
        <w:jc w:val="both"/>
      </w:pPr>
      <w:bookmarkStart w:id="3" w:name="_Ref473802466"/>
      <w:bookmarkStart w:id="4" w:name="_Ref462669569"/>
      <w:r>
        <w:t>NTN Cell</w:t>
      </w:r>
      <w:r w:rsidR="007C0317">
        <w:t xml:space="preserve"> and </w:t>
      </w:r>
      <w:r w:rsidR="00BF2047">
        <w:t>Frequency</w:t>
      </w:r>
      <w:r>
        <w:t xml:space="preserve"> Planning</w:t>
      </w:r>
      <w:r w:rsidR="001C71E8">
        <w:t xml:space="preserve"> </w:t>
      </w:r>
    </w:p>
    <w:p w14:paraId="20336A3E" w14:textId="77777777" w:rsidR="00692CFF" w:rsidRDefault="00692CFF" w:rsidP="00D5483F">
      <w:pPr>
        <w:tabs>
          <w:tab w:val="left" w:pos="1752"/>
        </w:tabs>
        <w:rPr>
          <w:lang w:val="en-GB"/>
        </w:rPr>
      </w:pPr>
      <w:r>
        <w:rPr>
          <w:lang w:val="en-GB"/>
        </w:rPr>
        <w:t>To discuss NTN initial access, it is necessary to look at cell and beam planning. For bent-pipe satellites, beamforming may not be as dynamic as in terrestrial networks. Rather, a fixed mapping between a beam and a coverage area is preferred. To avoid interference between different coverage areas, frequency planning may also be preferred as shown in Figure 1.</w:t>
      </w:r>
    </w:p>
    <w:p w14:paraId="0D38C120" w14:textId="2599518D" w:rsidR="00BF2047" w:rsidRDefault="00BF2047" w:rsidP="00BF2047">
      <w:pPr>
        <w:pStyle w:val="Caption"/>
        <w:keepNext/>
        <w:jc w:val="center"/>
      </w:pPr>
      <w:r>
        <w:object w:dxaOrig="4533" w:dyaOrig="5013" w14:anchorId="60AE6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2pt;height:161.4pt" o:ole="">
            <v:imagedata r:id="rId12" o:title=""/>
          </v:shape>
          <o:OLEObject Type="Embed" ProgID="Visio.Drawing.11" ShapeID="_x0000_i1025" DrawAspect="Content" ObjectID="_1618396506" r:id="rId13"/>
        </w:object>
      </w:r>
    </w:p>
    <w:p w14:paraId="0A7DC4BE" w14:textId="6B99EE8A" w:rsidR="00692CFF" w:rsidRDefault="00BF2047" w:rsidP="00BF2047">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sidR="00DD73D9">
        <w:rPr>
          <w:noProof/>
        </w:rPr>
        <w:t>1</w:t>
      </w:r>
      <w:r w:rsidR="00687135">
        <w:rPr>
          <w:noProof/>
        </w:rPr>
        <w:fldChar w:fldCharType="end"/>
      </w:r>
      <w:r>
        <w:t>. An example of satellite cell/frequency planning.</w:t>
      </w:r>
    </w:p>
    <w:p w14:paraId="7E239B5C" w14:textId="33A9F89A" w:rsidR="00BF2047" w:rsidRDefault="00BF2047" w:rsidP="00D5483F">
      <w:pPr>
        <w:tabs>
          <w:tab w:val="left" w:pos="1752"/>
        </w:tabs>
        <w:rPr>
          <w:lang w:val="en-GB"/>
        </w:rPr>
      </w:pPr>
      <w:r>
        <w:rPr>
          <w:lang w:val="en-GB"/>
        </w:rPr>
        <w:lastRenderedPageBreak/>
        <w:t>In the figure, we can see that each beam has a dedicated frequency range and multiple beams may share one frequency range.</w:t>
      </w:r>
    </w:p>
    <w:p w14:paraId="391A0CA3" w14:textId="19AC3580" w:rsidR="00B31ECE" w:rsidRDefault="00BF2047" w:rsidP="00D5483F">
      <w:pPr>
        <w:tabs>
          <w:tab w:val="left" w:pos="1752"/>
        </w:tabs>
        <w:rPr>
          <w:lang w:val="en-GB"/>
        </w:rPr>
      </w:pPr>
      <w:r>
        <w:rPr>
          <w:lang w:val="en-GB"/>
        </w:rPr>
        <w:t>One or multiple beams can be grouped to form a cell. If multiple neighbo</w:t>
      </w:r>
      <w:r w:rsidR="00B31ECE">
        <w:rPr>
          <w:lang w:val="en-GB"/>
        </w:rPr>
        <w:t>u</w:t>
      </w:r>
      <w:r>
        <w:rPr>
          <w:lang w:val="en-GB"/>
        </w:rPr>
        <w:t xml:space="preserve">ring beams are grouped into one cell, each </w:t>
      </w:r>
      <w:r w:rsidR="009C31BD">
        <w:rPr>
          <w:lang w:val="en-GB"/>
        </w:rPr>
        <w:t xml:space="preserve">of </w:t>
      </w:r>
      <w:r>
        <w:rPr>
          <w:lang w:val="en-GB"/>
        </w:rPr>
        <w:t>frequency range</w:t>
      </w:r>
      <w:r w:rsidR="00876F8E">
        <w:rPr>
          <w:lang w:val="en-GB"/>
        </w:rPr>
        <w:t>s</w:t>
      </w:r>
      <w:r>
        <w:rPr>
          <w:lang w:val="en-GB"/>
        </w:rPr>
        <w:t xml:space="preserve"> can be </w:t>
      </w:r>
      <w:r w:rsidR="00876F8E">
        <w:rPr>
          <w:lang w:val="en-GB"/>
        </w:rPr>
        <w:t xml:space="preserve">a </w:t>
      </w:r>
      <w:r w:rsidR="00B31ECE">
        <w:rPr>
          <w:lang w:val="en-GB"/>
        </w:rPr>
        <w:t>bandwidth part (BWP). In the following, impacts of cell and frequency planning on initial access and handover will be discussed.</w:t>
      </w:r>
    </w:p>
    <w:p w14:paraId="013FE69F" w14:textId="44C0B720" w:rsidR="00B31ECE" w:rsidRDefault="00B31ECE" w:rsidP="00B31ECE">
      <w:pPr>
        <w:pStyle w:val="Heading1"/>
      </w:pPr>
      <w:r>
        <w:t xml:space="preserve">Initial </w:t>
      </w:r>
      <w:r w:rsidR="00747C06">
        <w:t>Search</w:t>
      </w:r>
    </w:p>
    <w:p w14:paraId="3762EFC1" w14:textId="704C71E5" w:rsidR="004A035A" w:rsidRDefault="00EA6C3C" w:rsidP="004A035A">
      <w:pPr>
        <w:tabs>
          <w:tab w:val="left" w:pos="1752"/>
        </w:tabs>
        <w:rPr>
          <w:lang w:val="en-GB"/>
        </w:rPr>
      </w:pPr>
      <w:r>
        <w:rPr>
          <w:lang w:val="en-GB"/>
        </w:rPr>
        <w:t>Related to cell and frequency planning,</w:t>
      </w:r>
      <w:r w:rsidR="004A035A">
        <w:rPr>
          <w:lang w:val="en-GB"/>
        </w:rPr>
        <w:t xml:space="preserve"> satellite capability on frequency tunability and /or beam bandwidth determines arrangements of SSB in frequencies. In figure 1, two SSB arrangements are illustrated assuming different satellite beam use different frequency ranges for data.</w:t>
      </w:r>
    </w:p>
    <w:p w14:paraId="0C277F0B" w14:textId="2C0E8D6C" w:rsidR="00DD73D9" w:rsidRDefault="00DD73D9" w:rsidP="00D5483F">
      <w:pPr>
        <w:tabs>
          <w:tab w:val="left" w:pos="1752"/>
        </w:tabs>
        <w:rPr>
          <w:lang w:val="en-GB"/>
        </w:rPr>
      </w:pPr>
    </w:p>
    <w:p w14:paraId="573448EB" w14:textId="77777777" w:rsidR="00DD73D9" w:rsidRDefault="00DD73D9" w:rsidP="00DD73D9">
      <w:pPr>
        <w:keepNext/>
        <w:tabs>
          <w:tab w:val="left" w:pos="1752"/>
        </w:tabs>
      </w:pPr>
      <w:r>
        <w:object w:dxaOrig="10704" w:dyaOrig="3984" w14:anchorId="2571D92B">
          <v:shape id="_x0000_i1026" type="#_x0000_t75" style="width:481.8pt;height:179.4pt" o:ole="">
            <v:imagedata r:id="rId14" o:title=""/>
          </v:shape>
          <o:OLEObject Type="Embed" ProgID="Visio.Drawing.11" ShapeID="_x0000_i1026" DrawAspect="Content" ObjectID="_1618396507" r:id="rId15"/>
        </w:object>
      </w:r>
    </w:p>
    <w:p w14:paraId="052021D5" w14:textId="08626630" w:rsidR="00DD73D9" w:rsidRDefault="00DD73D9" w:rsidP="00DD73D9">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Pr>
          <w:noProof/>
        </w:rPr>
        <w:t>2</w:t>
      </w:r>
      <w:r w:rsidR="00687135">
        <w:rPr>
          <w:noProof/>
        </w:rPr>
        <w:fldChar w:fldCharType="end"/>
      </w:r>
      <w:r>
        <w:t xml:space="preserve"> SSB arrangements vs beam and frequency.</w:t>
      </w:r>
    </w:p>
    <w:p w14:paraId="261F91E0" w14:textId="06CF6A17" w:rsidR="00DD73D9" w:rsidRDefault="00DD73D9" w:rsidP="00D5483F">
      <w:pPr>
        <w:tabs>
          <w:tab w:val="left" w:pos="1752"/>
        </w:tabs>
        <w:rPr>
          <w:lang w:val="en-GB"/>
        </w:rPr>
      </w:pPr>
      <w:r>
        <w:rPr>
          <w:lang w:val="en-GB"/>
        </w:rPr>
        <w:t>Arrangement A in the above figure allows one satellite mapped to one cell and each beam has its own BWP</w:t>
      </w:r>
      <w:r w:rsidR="004A035A">
        <w:rPr>
          <w:lang w:val="en-GB"/>
        </w:rPr>
        <w:t xml:space="preserve"> and requires that satellite beams are </w:t>
      </w:r>
      <w:proofErr w:type="spellStart"/>
      <w:r w:rsidR="004A035A">
        <w:rPr>
          <w:lang w:val="en-GB"/>
        </w:rPr>
        <w:t>tunable</w:t>
      </w:r>
      <w:proofErr w:type="spellEnd"/>
      <w:r w:rsidR="004A035A">
        <w:rPr>
          <w:lang w:val="en-GB"/>
        </w:rPr>
        <w:t xml:space="preserve"> or have large transmit bandwidth. </w:t>
      </w:r>
      <w:r w:rsidR="006F2CAB">
        <w:rPr>
          <w:lang w:val="en-GB"/>
        </w:rPr>
        <w:t xml:space="preserve">In addition, only one synchronization frequency is </w:t>
      </w:r>
      <w:r w:rsidR="00747C06">
        <w:rPr>
          <w:lang w:val="en-GB"/>
        </w:rPr>
        <w:t>to be searched</w:t>
      </w:r>
      <w:r w:rsidR="006F2CAB">
        <w:rPr>
          <w:lang w:val="en-GB"/>
        </w:rPr>
        <w:t xml:space="preserve">. </w:t>
      </w:r>
      <w:r w:rsidR="006E20A5">
        <w:rPr>
          <w:lang w:val="en-GB"/>
        </w:rPr>
        <w:t>On the other hand, arrangement B will have multiple cells allocated to a satellite</w:t>
      </w:r>
      <w:r w:rsidR="006F2CAB">
        <w:rPr>
          <w:lang w:val="en-GB"/>
        </w:rPr>
        <w:t xml:space="preserve"> unless changes are made in NR specification</w:t>
      </w:r>
      <w:r w:rsidR="006E20A5">
        <w:rPr>
          <w:lang w:val="en-GB"/>
        </w:rPr>
        <w:t xml:space="preserve">. </w:t>
      </w:r>
      <w:r w:rsidR="006F2CAB">
        <w:rPr>
          <w:lang w:val="en-GB"/>
        </w:rPr>
        <w:t xml:space="preserve">However, arrangement B allows beams with fixed spatial and frequency. This arrangement, however, requires more synchronization frequencies to be searched.  </w:t>
      </w:r>
    </w:p>
    <w:p w14:paraId="3718C7AB" w14:textId="7B4E0241" w:rsidR="004A035A" w:rsidRDefault="004A035A" w:rsidP="004A035A">
      <w:pPr>
        <w:tabs>
          <w:tab w:val="left" w:pos="1752"/>
        </w:tabs>
        <w:rPr>
          <w:lang w:val="en-GB"/>
        </w:rPr>
      </w:pPr>
      <w:r>
        <w:rPr>
          <w:lang w:val="en-GB"/>
        </w:rPr>
        <w:t>As discussed in [2], the initial search of SSBs in NTN requires a search in the spatial domain, azimuth and elevation angles, in addition to traditional synchronization signal search in frequency and time. Together with large Doppler shift, even with a stationary satellite initial search time can be long. For LEO and MEO satellite, initial search can</w:t>
      </w:r>
      <w:r w:rsidR="00747C06">
        <w:rPr>
          <w:lang w:val="en-GB"/>
        </w:rPr>
        <w:t xml:space="preserve"> be even</w:t>
      </w:r>
      <w:r>
        <w:rPr>
          <w:lang w:val="en-GB"/>
        </w:rPr>
        <w:t xml:space="preserve"> longer due to the small dwelling time of a satellite beam, which can be </w:t>
      </w:r>
      <w:r w:rsidR="00747C06">
        <w:rPr>
          <w:lang w:val="en-GB"/>
        </w:rPr>
        <w:t xml:space="preserve">less than </w:t>
      </w:r>
      <w:r>
        <w:rPr>
          <w:lang w:val="en-GB"/>
        </w:rPr>
        <w:t>10 seconds. All t</w:t>
      </w:r>
      <w:r w:rsidR="00747C06">
        <w:rPr>
          <w:lang w:val="en-GB"/>
        </w:rPr>
        <w:t>he above</w:t>
      </w:r>
      <w:r>
        <w:rPr>
          <w:lang w:val="en-GB"/>
        </w:rPr>
        <w:t xml:space="preserve"> makes the initial search in NTN challenging, especially for mobile devices</w:t>
      </w:r>
      <w:r w:rsidR="00747C06">
        <w:rPr>
          <w:lang w:val="en-GB"/>
        </w:rPr>
        <w:t xml:space="preserve"> which does not know its antenna look angle and possibly geolocation</w:t>
      </w:r>
      <w:r>
        <w:rPr>
          <w:lang w:val="en-GB"/>
        </w:rPr>
        <w:t>.</w:t>
      </w:r>
    </w:p>
    <w:p w14:paraId="4CB0BED1" w14:textId="55CFB328" w:rsidR="004A035A" w:rsidRDefault="004A035A" w:rsidP="004A035A">
      <w:pPr>
        <w:tabs>
          <w:tab w:val="left" w:pos="1752"/>
        </w:tabs>
        <w:rPr>
          <w:lang w:val="en-GB"/>
        </w:rPr>
      </w:pPr>
      <w:r>
        <w:rPr>
          <w:lang w:val="en-GB"/>
        </w:rPr>
        <w:t xml:space="preserve">Hence it is important to consider mechanisms </w:t>
      </w:r>
      <w:r w:rsidR="00747C06">
        <w:rPr>
          <w:lang w:val="en-GB"/>
        </w:rPr>
        <w:t>for reducing</w:t>
      </w:r>
      <w:r>
        <w:rPr>
          <w:lang w:val="en-GB"/>
        </w:rPr>
        <w:t xml:space="preserve"> the searching time. Two measures can be considered for this purpose:</w:t>
      </w:r>
    </w:p>
    <w:p w14:paraId="33952DA5"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Increase the synch</w:t>
      </w:r>
      <w:r>
        <w:rPr>
          <w:rFonts w:ascii="Times New Roman" w:hAnsi="Times New Roman"/>
          <w:sz w:val="20"/>
          <w:szCs w:val="20"/>
          <w:lang w:val="en-GB"/>
        </w:rPr>
        <w:t>ronization</w:t>
      </w:r>
      <w:r w:rsidRPr="0006575F">
        <w:rPr>
          <w:rFonts w:ascii="Times New Roman" w:hAnsi="Times New Roman"/>
          <w:sz w:val="20"/>
          <w:szCs w:val="20"/>
          <w:lang w:val="en-GB"/>
        </w:rPr>
        <w:t xml:space="preserve"> raster size so as to reduce the number of frequencies to be searched</w:t>
      </w:r>
    </w:p>
    <w:p w14:paraId="7D04E4FC"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Compensate the Doppler at least in the DL synchronization signals.</w:t>
      </w:r>
    </w:p>
    <w:p w14:paraId="3FD193C7" w14:textId="77777777" w:rsidR="004A035A" w:rsidRDefault="004A035A" w:rsidP="004A035A">
      <w:pPr>
        <w:tabs>
          <w:tab w:val="left" w:pos="1752"/>
        </w:tabs>
        <w:rPr>
          <w:lang w:val="en-GB"/>
        </w:rPr>
      </w:pPr>
    </w:p>
    <w:p w14:paraId="661F196D" w14:textId="7A35BB1A" w:rsidR="004A035A" w:rsidRDefault="004A035A" w:rsidP="004A035A">
      <w:pPr>
        <w:tabs>
          <w:tab w:val="left" w:pos="1752"/>
        </w:tabs>
        <w:rPr>
          <w:lang w:val="en-GB"/>
        </w:rPr>
      </w:pPr>
      <w:r>
        <w:rPr>
          <w:lang w:val="en-GB"/>
        </w:rPr>
        <w:t xml:space="preserve">To have large synchronization raster, </w:t>
      </w:r>
      <w:r w:rsidR="00CF5534">
        <w:rPr>
          <w:lang w:val="en-GB"/>
        </w:rPr>
        <w:t xml:space="preserve">arrangement A in figure 2 is preferred but </w:t>
      </w:r>
      <w:r>
        <w:rPr>
          <w:lang w:val="en-GB"/>
        </w:rPr>
        <w:t xml:space="preserve">it would require </w:t>
      </w:r>
      <w:r w:rsidR="00CF5534">
        <w:rPr>
          <w:lang w:val="en-GB"/>
        </w:rPr>
        <w:t>that</w:t>
      </w:r>
      <w:r>
        <w:rPr>
          <w:lang w:val="en-GB"/>
        </w:rPr>
        <w:t xml:space="preserve"> beams are </w:t>
      </w:r>
      <w:proofErr w:type="spellStart"/>
      <w:r>
        <w:rPr>
          <w:lang w:val="en-GB"/>
        </w:rPr>
        <w:t>tunable</w:t>
      </w:r>
      <w:proofErr w:type="spellEnd"/>
      <w:r>
        <w:rPr>
          <w:lang w:val="en-GB"/>
        </w:rPr>
        <w:t xml:space="preserve"> in frequency.</w:t>
      </w:r>
      <w:r w:rsidR="00CF5534">
        <w:rPr>
          <w:lang w:val="en-GB"/>
        </w:rPr>
        <w:t xml:space="preserve"> In addition, time gaps may be needed before and after each SSB transmission</w:t>
      </w:r>
      <w:r w:rsidR="00747C06">
        <w:rPr>
          <w:lang w:val="en-GB"/>
        </w:rPr>
        <w:t xml:space="preserve"> to account for the time for frequency retuning</w:t>
      </w:r>
      <w:r w:rsidR="00CF5534">
        <w:rPr>
          <w:lang w:val="en-GB"/>
        </w:rPr>
        <w:t xml:space="preserve">. </w:t>
      </w:r>
    </w:p>
    <w:p w14:paraId="710BE8A3" w14:textId="2BBBD8C8" w:rsidR="00CF5534" w:rsidRPr="00CF5534" w:rsidRDefault="00CF5534" w:rsidP="004A035A">
      <w:pPr>
        <w:tabs>
          <w:tab w:val="left" w:pos="1752"/>
        </w:tabs>
        <w:rPr>
          <w:b/>
          <w:lang w:val="en-GB"/>
        </w:rPr>
      </w:pPr>
      <w:r w:rsidRPr="00CF5534">
        <w:rPr>
          <w:b/>
          <w:lang w:val="en-GB"/>
        </w:rPr>
        <w:t>Proposal 1: Study the feasibility and impacts on specification and implementation of the following mechanisms for reducing initial search time:</w:t>
      </w:r>
    </w:p>
    <w:p w14:paraId="349BEFD6" w14:textId="51846B73"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increased synchronization raster size, and</w:t>
      </w:r>
    </w:p>
    <w:p w14:paraId="27BAE3E8" w14:textId="1696805C"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 xml:space="preserve">pre-compensate the Doppler shift of the beam </w:t>
      </w:r>
      <w:proofErr w:type="spellStart"/>
      <w:r w:rsidRPr="00CF5534">
        <w:rPr>
          <w:rFonts w:ascii="Times New Roman" w:hAnsi="Times New Roman"/>
          <w:b/>
          <w:sz w:val="20"/>
          <w:szCs w:val="20"/>
          <w:lang w:val="en-GB"/>
        </w:rPr>
        <w:t>center</w:t>
      </w:r>
      <w:proofErr w:type="spellEnd"/>
      <w:r w:rsidRPr="00CF5534">
        <w:rPr>
          <w:rFonts w:ascii="Times New Roman" w:hAnsi="Times New Roman"/>
          <w:b/>
          <w:sz w:val="20"/>
          <w:szCs w:val="20"/>
          <w:lang w:val="en-GB"/>
        </w:rPr>
        <w:t xml:space="preserve"> </w:t>
      </w:r>
      <w:r w:rsidR="00747C06">
        <w:rPr>
          <w:rFonts w:ascii="Times New Roman" w:hAnsi="Times New Roman"/>
          <w:b/>
          <w:sz w:val="20"/>
          <w:szCs w:val="20"/>
          <w:lang w:val="en-GB"/>
        </w:rPr>
        <w:t xml:space="preserve">at least </w:t>
      </w:r>
      <w:r w:rsidRPr="00CF5534">
        <w:rPr>
          <w:rFonts w:ascii="Times New Roman" w:hAnsi="Times New Roman"/>
          <w:b/>
          <w:sz w:val="20"/>
          <w:szCs w:val="20"/>
          <w:lang w:val="en-GB"/>
        </w:rPr>
        <w:t>in SSB transmissions.</w:t>
      </w:r>
    </w:p>
    <w:p w14:paraId="52E75EE0" w14:textId="77777777" w:rsidR="00E15E6C" w:rsidRDefault="00E15E6C" w:rsidP="00D5483F">
      <w:pPr>
        <w:tabs>
          <w:tab w:val="left" w:pos="1752"/>
        </w:tabs>
        <w:rPr>
          <w:lang w:val="en-GB"/>
        </w:rPr>
      </w:pPr>
    </w:p>
    <w:p w14:paraId="25AF5E36" w14:textId="41EC89B7" w:rsidR="00B31ECE" w:rsidRDefault="00876F8E" w:rsidP="00CF5534">
      <w:pPr>
        <w:pStyle w:val="Heading1"/>
      </w:pPr>
      <w:r>
        <w:t xml:space="preserve">   </w:t>
      </w:r>
      <w:r w:rsidR="00150F79">
        <w:t xml:space="preserve">Intra-satellite </w:t>
      </w:r>
      <w:r w:rsidR="00CF5534">
        <w:t>Handover</w:t>
      </w:r>
      <w:r w:rsidR="00150F79">
        <w:t xml:space="preserve"> </w:t>
      </w:r>
    </w:p>
    <w:p w14:paraId="7523568B" w14:textId="0B7FD70C" w:rsidR="0028412A" w:rsidRDefault="0028412A" w:rsidP="00D5483F">
      <w:pPr>
        <w:tabs>
          <w:tab w:val="left" w:pos="1752"/>
        </w:tabs>
        <w:rPr>
          <w:lang w:val="en-GB"/>
        </w:rPr>
      </w:pPr>
      <w:r>
        <w:rPr>
          <w:lang w:val="en-GB"/>
        </w:rPr>
        <w:t>In this section, we discuss handover between cells or switch between beams within a satellite.</w:t>
      </w:r>
    </w:p>
    <w:p w14:paraId="7B19F168" w14:textId="1292F958" w:rsidR="00AD3EE9" w:rsidRDefault="0028412A" w:rsidP="00D5483F">
      <w:pPr>
        <w:tabs>
          <w:tab w:val="left" w:pos="1752"/>
        </w:tabs>
        <w:rPr>
          <w:lang w:val="en-GB"/>
        </w:rPr>
      </w:pPr>
      <w:r>
        <w:rPr>
          <w:lang w:val="en-GB"/>
        </w:rPr>
        <w:t>In LEO and MEO satellite communications, handover occurs frequently. In addition, a large number of simultaneous handover or beam switch may occur</w:t>
      </w:r>
      <w:r w:rsidR="00747C06">
        <w:rPr>
          <w:lang w:val="en-GB"/>
        </w:rPr>
        <w:t xml:space="preserve"> simultaneously</w:t>
      </w:r>
      <w:r>
        <w:rPr>
          <w:lang w:val="en-GB"/>
        </w:rPr>
        <w:t xml:space="preserve">. For instance, when </w:t>
      </w:r>
      <w:r w:rsidR="00760AD8">
        <w:rPr>
          <w:lang w:val="en-GB"/>
        </w:rPr>
        <w:t>satellite coverage area passes through</w:t>
      </w:r>
      <w:r>
        <w:rPr>
          <w:lang w:val="en-GB"/>
        </w:rPr>
        <w:t xml:space="preserve"> a densely populated area, a large number of UEs may simultaneously </w:t>
      </w:r>
      <w:r w:rsidR="00760AD8">
        <w:rPr>
          <w:lang w:val="en-GB"/>
        </w:rPr>
        <w:t>move</w:t>
      </w:r>
      <w:r w:rsidR="00AD3EE9">
        <w:rPr>
          <w:lang w:val="en-GB"/>
        </w:rPr>
        <w:t xml:space="preserve"> from the old beam to the new beam. This calls for efficient cell handover and beam switch mechanisms. In the sequel, we refer to </w:t>
      </w:r>
      <w:r w:rsidR="00AD3EE9" w:rsidRPr="00AD3EE9">
        <w:rPr>
          <w:i/>
          <w:lang w:val="en-GB"/>
        </w:rPr>
        <w:t xml:space="preserve">handover </w:t>
      </w:r>
      <w:r w:rsidR="00AD3EE9">
        <w:rPr>
          <w:lang w:val="en-GB"/>
        </w:rPr>
        <w:t>as either a beam switch or a cell handover within a satellite unless it is specifically spelled out.</w:t>
      </w:r>
    </w:p>
    <w:p w14:paraId="6E73679F" w14:textId="77777777" w:rsidR="00AD3EE9" w:rsidRDefault="00AD3EE9" w:rsidP="00D5483F">
      <w:pPr>
        <w:tabs>
          <w:tab w:val="left" w:pos="1752"/>
        </w:tabs>
        <w:rPr>
          <w:lang w:val="en-GB"/>
        </w:rPr>
      </w:pPr>
      <w:r>
        <w:rPr>
          <w:lang w:val="en-GB"/>
        </w:rPr>
        <w:t xml:space="preserve">Fortunately, </w:t>
      </w:r>
      <w:r w:rsidR="0028412A">
        <w:rPr>
          <w:lang w:val="en-GB"/>
        </w:rPr>
        <w:t xml:space="preserve">LEO and MEO satellites have fixed orbits and can be made known to UEs by broadcasting ephemeris information. </w:t>
      </w:r>
      <w:r>
        <w:rPr>
          <w:lang w:val="en-GB"/>
        </w:rPr>
        <w:t>As a result, cell handover or beam switch is highly predictable. Taking this advantage, the following efficient mechanisms are to be supported:</w:t>
      </w:r>
    </w:p>
    <w:p w14:paraId="1A13D8A0" w14:textId="4F3A7BEB"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Network initiated handover</w:t>
      </w:r>
    </w:p>
    <w:p w14:paraId="11B0BA85" w14:textId="053E07C3" w:rsidR="00624C92" w:rsidRPr="00624C92" w:rsidRDefault="00624C92" w:rsidP="00624C92">
      <w:pPr>
        <w:tabs>
          <w:tab w:val="left" w:pos="1752"/>
        </w:tabs>
        <w:ind w:left="720"/>
        <w:rPr>
          <w:lang w:val="en-GB"/>
        </w:rPr>
      </w:pPr>
      <w:r>
        <w:rPr>
          <w:lang w:val="en-GB"/>
        </w:rPr>
        <w:t xml:space="preserve">For network initiated or scheduled handover, relevant information about subsequent cells/beams need to be known to UE. Network initiated handover could be timer based or dynamically signalled by DCI. </w:t>
      </w:r>
    </w:p>
    <w:p w14:paraId="7F946A83" w14:textId="45FCC7F6"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UE initiated handover</w:t>
      </w:r>
    </w:p>
    <w:p w14:paraId="0D90014F" w14:textId="2B746ABB" w:rsidR="00624C92" w:rsidRDefault="00624C92" w:rsidP="00624C92">
      <w:pPr>
        <w:tabs>
          <w:tab w:val="left" w:pos="1752"/>
        </w:tabs>
        <w:ind w:left="720"/>
        <w:rPr>
          <w:lang w:val="en-GB"/>
        </w:rPr>
      </w:pPr>
      <w:r>
        <w:rPr>
          <w:lang w:val="en-GB"/>
        </w:rPr>
        <w:t>In UE initiated handover, UE can signal its handover using a PRACH or special signal like SR.</w:t>
      </w:r>
    </w:p>
    <w:p w14:paraId="2916B53C" w14:textId="77777777" w:rsidR="00B2167B" w:rsidRDefault="00624C92" w:rsidP="00B2167B">
      <w:pPr>
        <w:tabs>
          <w:tab w:val="left" w:pos="1752"/>
        </w:tabs>
        <w:rPr>
          <w:lang w:val="en-GB"/>
        </w:rPr>
      </w:pPr>
      <w:r>
        <w:rPr>
          <w:lang w:val="en-GB"/>
        </w:rPr>
        <w:t>For both of the above schemes, UE needs to measure neighbo</w:t>
      </w:r>
      <w:r w:rsidR="00B2167B">
        <w:rPr>
          <w:lang w:val="en-GB"/>
        </w:rPr>
        <w:t>u</w:t>
      </w:r>
      <w:r>
        <w:rPr>
          <w:lang w:val="en-GB"/>
        </w:rPr>
        <w:t xml:space="preserve">ring cells or beams. </w:t>
      </w:r>
      <w:r w:rsidR="00B2167B">
        <w:rPr>
          <w:lang w:val="en-GB"/>
        </w:rPr>
        <w:t xml:space="preserve">RAN1 needs to study the above mechanisms and associated facilities including </w:t>
      </w:r>
    </w:p>
    <w:p w14:paraId="6753901A" w14:textId="4A6E40ED" w:rsidR="00B2167B" w:rsidRP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 xml:space="preserve">CSI-RS </w:t>
      </w:r>
      <w:r w:rsidR="00150F79">
        <w:rPr>
          <w:rFonts w:ascii="Times New Roman" w:hAnsi="Times New Roman"/>
          <w:sz w:val="20"/>
          <w:szCs w:val="20"/>
          <w:lang w:val="en-GB"/>
        </w:rPr>
        <w:t>for efficient multi-cell (beam) measurements</w:t>
      </w:r>
      <w:r w:rsidRPr="00B2167B">
        <w:rPr>
          <w:rFonts w:ascii="Times New Roman" w:hAnsi="Times New Roman"/>
          <w:sz w:val="20"/>
          <w:szCs w:val="20"/>
          <w:lang w:val="en-GB"/>
        </w:rPr>
        <w:t xml:space="preserve"> </w:t>
      </w:r>
    </w:p>
    <w:p w14:paraId="60F5120E" w14:textId="02BDB312" w:rsid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Physical-layer signalling of handover</w:t>
      </w:r>
    </w:p>
    <w:p w14:paraId="4C98AEDE" w14:textId="18794D26" w:rsidR="00150F79" w:rsidRDefault="00150F79" w:rsidP="00150F79">
      <w:pPr>
        <w:tabs>
          <w:tab w:val="left" w:pos="1752"/>
        </w:tabs>
        <w:rPr>
          <w:lang w:val="en-GB"/>
        </w:rPr>
      </w:pPr>
    </w:p>
    <w:p w14:paraId="00915DC3" w14:textId="19F953CB" w:rsidR="00150F79" w:rsidRDefault="00150F79" w:rsidP="00150F79">
      <w:pPr>
        <w:tabs>
          <w:tab w:val="left" w:pos="1752"/>
        </w:tabs>
        <w:rPr>
          <w:b/>
          <w:lang w:val="en-GB"/>
        </w:rPr>
      </w:pPr>
      <w:r w:rsidRPr="00150F79">
        <w:rPr>
          <w:b/>
          <w:lang w:val="en-GB"/>
        </w:rPr>
        <w:t xml:space="preserve">Proposal 2: </w:t>
      </w:r>
      <w:r>
        <w:rPr>
          <w:b/>
          <w:lang w:val="en-GB"/>
        </w:rPr>
        <w:t>Study and s</w:t>
      </w:r>
      <w:r w:rsidRPr="00150F79">
        <w:rPr>
          <w:b/>
          <w:lang w:val="en-GB"/>
        </w:rPr>
        <w:t xml:space="preserve">upport enhanced intra-satellite cell handover and beam switch including both network and UE initiated handover and </w:t>
      </w:r>
      <w:r w:rsidR="00760AD8">
        <w:rPr>
          <w:b/>
          <w:lang w:val="en-GB"/>
        </w:rPr>
        <w:t xml:space="preserve">beam </w:t>
      </w:r>
      <w:r w:rsidRPr="00150F79">
        <w:rPr>
          <w:b/>
          <w:lang w:val="en-GB"/>
        </w:rPr>
        <w:t>switch.</w:t>
      </w:r>
    </w:p>
    <w:p w14:paraId="3B8A431B" w14:textId="06F884E4" w:rsidR="00150F79" w:rsidRPr="00150F79" w:rsidRDefault="00150F79" w:rsidP="00150F79">
      <w:pPr>
        <w:tabs>
          <w:tab w:val="left" w:pos="1752"/>
        </w:tabs>
        <w:rPr>
          <w:b/>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13409B67" w14:textId="77777777" w:rsidR="00150F79" w:rsidRDefault="00225438" w:rsidP="00225438">
      <w:pPr>
        <w:rPr>
          <w:lang w:val="en-GB"/>
        </w:rPr>
      </w:pPr>
      <w:r>
        <w:rPr>
          <w:lang w:val="en-GB"/>
        </w:rPr>
        <w:t xml:space="preserve">We discussed </w:t>
      </w:r>
      <w:r w:rsidR="00150F79">
        <w:rPr>
          <w:lang w:val="en-GB"/>
        </w:rPr>
        <w:t>initial access and intra-satellite handover and have the following proposals:</w:t>
      </w:r>
    </w:p>
    <w:p w14:paraId="0F631536" w14:textId="77777777" w:rsidR="00150F79" w:rsidRPr="00150F79" w:rsidRDefault="00150F79" w:rsidP="00150F79">
      <w:pPr>
        <w:tabs>
          <w:tab w:val="left" w:pos="1752"/>
        </w:tabs>
        <w:rPr>
          <w:b/>
          <w:i/>
          <w:lang w:val="en-GB"/>
        </w:rPr>
      </w:pPr>
      <w:r w:rsidRPr="00150F79">
        <w:rPr>
          <w:b/>
          <w:i/>
          <w:lang w:val="en-GB"/>
        </w:rPr>
        <w:t>Proposal 1: Study the feasibility and impacts on specification and implementation of the following mechanisms for reducing initial search time:</w:t>
      </w:r>
    </w:p>
    <w:p w14:paraId="673166C5"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increased synchronization raster size, and</w:t>
      </w:r>
    </w:p>
    <w:p w14:paraId="6D408F92"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 xml:space="preserve">pre-compensate the Doppler shift of the beam </w:t>
      </w:r>
      <w:proofErr w:type="spellStart"/>
      <w:r w:rsidRPr="00150F79">
        <w:rPr>
          <w:rFonts w:ascii="Times New Roman" w:hAnsi="Times New Roman"/>
          <w:b/>
          <w:i/>
          <w:sz w:val="20"/>
          <w:szCs w:val="20"/>
          <w:lang w:val="en-GB"/>
        </w:rPr>
        <w:t>center</w:t>
      </w:r>
      <w:proofErr w:type="spellEnd"/>
      <w:r w:rsidRPr="00150F79">
        <w:rPr>
          <w:rFonts w:ascii="Times New Roman" w:hAnsi="Times New Roman"/>
          <w:b/>
          <w:i/>
          <w:sz w:val="20"/>
          <w:szCs w:val="20"/>
          <w:lang w:val="en-GB"/>
        </w:rPr>
        <w:t xml:space="preserve"> in SSB transmissions.</w:t>
      </w:r>
    </w:p>
    <w:p w14:paraId="1562DDF6" w14:textId="77777777" w:rsidR="00150F79" w:rsidRPr="00150F79" w:rsidRDefault="00150F79" w:rsidP="00225438">
      <w:pPr>
        <w:rPr>
          <w:i/>
          <w:lang w:val="en-GB"/>
        </w:rPr>
      </w:pPr>
    </w:p>
    <w:bookmarkEnd w:id="3"/>
    <w:bookmarkEnd w:id="4"/>
    <w:p w14:paraId="4F91F09D" w14:textId="77777777" w:rsidR="00760AD8" w:rsidRPr="00760AD8" w:rsidRDefault="00760AD8" w:rsidP="00760AD8">
      <w:pPr>
        <w:tabs>
          <w:tab w:val="left" w:pos="1752"/>
        </w:tabs>
        <w:rPr>
          <w:b/>
          <w:i/>
          <w:lang w:val="en-GB"/>
        </w:rPr>
      </w:pPr>
      <w:r w:rsidRPr="00760AD8">
        <w:rPr>
          <w:b/>
          <w:i/>
          <w:lang w:val="en-GB"/>
        </w:rPr>
        <w:t>Proposal 2: Study and support enhanced intra-satellite cell handover and beam switch including both network and UE initiated handover and beam switch.</w:t>
      </w: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7D02863A"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R1-18</w:t>
      </w:r>
      <w:r w:rsidRPr="00150F79">
        <w:rPr>
          <w:rFonts w:ascii="Times New Roman" w:eastAsia="MS Mincho" w:hAnsi="Times New Roman"/>
          <w:bCs/>
          <w:sz w:val="20"/>
          <w:szCs w:val="20"/>
          <w:lang w:eastAsia="ja-JP"/>
        </w:rPr>
        <w:t>04822</w:t>
      </w:r>
      <w:r>
        <w:rPr>
          <w:rFonts w:ascii="Times New Roman" w:eastAsia="MS Mincho" w:hAnsi="Times New Roman"/>
          <w:bCs/>
          <w:sz w:val="20"/>
          <w:szCs w:val="20"/>
          <w:lang w:eastAsia="ja-JP"/>
        </w:rPr>
        <w:t xml:space="preserve">, On NTN initial access, Qualcomm Technologies Inc., 3GPP RAN1 #92bis,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2018.</w:t>
      </w:r>
      <w:bookmarkEnd w:id="5"/>
      <w:bookmarkEnd w:id="6"/>
      <w:bookmarkEnd w:id="7"/>
      <w:bookmarkEnd w:id="8"/>
    </w:p>
    <w:sectPr w:rsidR="00CE53DF" w:rsidRPr="00150F7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C23DE" w14:textId="77777777" w:rsidR="00410F24" w:rsidRDefault="00410F24">
      <w:r>
        <w:separator/>
      </w:r>
    </w:p>
  </w:endnote>
  <w:endnote w:type="continuationSeparator" w:id="0">
    <w:p w14:paraId="600504F4" w14:textId="77777777" w:rsidR="00410F24" w:rsidRDefault="00410F24">
      <w:r>
        <w:continuationSeparator/>
      </w:r>
    </w:p>
  </w:endnote>
  <w:endnote w:type="continuationNotice" w:id="1">
    <w:p w14:paraId="6A75AF85" w14:textId="77777777" w:rsidR="00410F24" w:rsidRDefault="00410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AC7C6" w14:textId="77777777" w:rsidR="00410F24" w:rsidRDefault="00410F24">
      <w:r>
        <w:separator/>
      </w:r>
    </w:p>
  </w:footnote>
  <w:footnote w:type="continuationSeparator" w:id="0">
    <w:p w14:paraId="02FF85B5" w14:textId="77777777" w:rsidR="00410F24" w:rsidRDefault="00410F24">
      <w:r>
        <w:continuationSeparator/>
      </w:r>
    </w:p>
  </w:footnote>
  <w:footnote w:type="continuationNotice" w:id="1">
    <w:p w14:paraId="1BF4E584" w14:textId="77777777" w:rsidR="00410F24" w:rsidRDefault="00410F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679E9"/>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F24"/>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135"/>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C06"/>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AD8"/>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A69"/>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4D166F3-FA4E-4FAB-8AEE-B0F9E9F1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NTN Cell and Frequency Planning </vt:lpstr>
      <vt:lpstr>Initial Search</vt:lpstr>
      <vt:lpstr>Intra-satellite Handover </vt:lpstr>
      <vt:lpstr>Conclusions</vt:lpstr>
      <vt:lpstr>References	</vt:lpstr>
    </vt:vector>
  </TitlesOfParts>
  <Company>Qualcomm Inc.</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2019-05-03T20:48:00Z</dcterms:created>
  <dcterms:modified xsi:type="dcterms:W3CDTF">2019-05-03T20:48:00Z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